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>
          <w:rFonts w:ascii="Times New Roman" w:hAnsi="Times New Roman" w:eastAsia="" w:cs="Times New Roman" w:eastAsiaTheme="majorEastAsia"/>
          <w:b/>
          <w:b/>
          <w:color w:val="365F91" w:themeColor="accent1" w:themeShade="bf"/>
          <w:sz w:val="32"/>
          <w:szCs w:val="32"/>
          <w:lang w:val="lv-LV"/>
        </w:rPr>
      </w:pPr>
      <w:r>
        <w:rPr>
          <w:rFonts w:eastAsia="" w:cs="Times New Roman" w:eastAsiaTheme="majorEastAsia"/>
          <w:b/>
          <w:color w:val="365F91" w:themeColor="accent1" w:themeShade="bf"/>
          <w:sz w:val="32"/>
          <w:szCs w:val="32"/>
          <w:lang w:val="lv-LV"/>
        </w:rPr>
        <w:t>Apmācību apraksts</w:t>
      </w:r>
    </w:p>
    <w:p>
      <w:pPr>
        <w:pStyle w:val="Normal"/>
        <w:jc w:val="center"/>
        <w:rPr>
          <w:lang w:val="lv-LV"/>
        </w:rPr>
      </w:pPr>
      <w:r>
        <w:rPr>
          <w:rFonts w:cs="Times New Roman" w:ascii="Times New Roman" w:hAnsi="Times New Roman"/>
          <w:b/>
          <w:sz w:val="32"/>
          <w:szCs w:val="24"/>
          <w:lang w:val="lv-LV"/>
        </w:rPr>
        <w:t>Likumi</w:t>
      </w:r>
      <w:r>
        <w:rPr>
          <w:rFonts w:cs="Times New Roman" w:ascii="Times New Roman" w:hAnsi="Times New Roman"/>
          <w:b/>
          <w:sz w:val="32"/>
          <w:szCs w:val="24"/>
          <w:lang w:val="lv-LV"/>
        </w:rPr>
        <w:t xml:space="preserve">, </w:t>
      </w:r>
      <w:r>
        <w:rPr>
          <w:rFonts w:cs="Times New Roman" w:ascii="Times New Roman" w:hAnsi="Times New Roman"/>
          <w:b/>
          <w:sz w:val="32"/>
          <w:szCs w:val="24"/>
          <w:lang w:val="lv-LV"/>
        </w:rPr>
        <w:t>cilvēktiesības</w:t>
      </w:r>
      <w:r>
        <w:rPr>
          <w:rFonts w:cs="Times New Roman" w:ascii="Times New Roman" w:hAnsi="Times New Roman"/>
          <w:b/>
          <w:sz w:val="32"/>
          <w:szCs w:val="24"/>
          <w:lang w:val="lv-LV"/>
        </w:rPr>
        <w:t xml:space="preserve">, </w:t>
      </w:r>
      <w:r>
        <w:rPr>
          <w:rFonts w:cs="Times New Roman" w:ascii="Times New Roman" w:hAnsi="Times New Roman"/>
          <w:b/>
          <w:sz w:val="32"/>
          <w:szCs w:val="24"/>
          <w:lang w:val="lv-LV"/>
        </w:rPr>
        <w:t>patērētāju aizsardzība</w:t>
      </w:r>
      <w:r>
        <w:rPr>
          <w:rFonts w:cs="Times New Roman" w:ascii="Times New Roman" w:hAnsi="Times New Roman"/>
          <w:b/>
          <w:sz w:val="32"/>
          <w:szCs w:val="24"/>
          <w:lang w:val="lv-LV"/>
        </w:rPr>
        <w:t xml:space="preserve">, </w:t>
      </w:r>
      <w:r>
        <w:rPr>
          <w:rFonts w:cs="Times New Roman" w:ascii="Times New Roman" w:hAnsi="Times New Roman"/>
          <w:b/>
          <w:sz w:val="32"/>
          <w:szCs w:val="24"/>
          <w:lang w:val="lv-LV"/>
        </w:rPr>
        <w:t>riska kļūt par krāpšanas upuri samazināš</w:t>
      </w:r>
      <w:r>
        <w:rPr>
          <w:rFonts w:cs="Times New Roman" w:ascii="Times New Roman" w:hAnsi="Times New Roman"/>
          <w:b/>
          <w:sz w:val="32"/>
          <w:szCs w:val="24"/>
          <w:lang w:val="lv-LV"/>
        </w:rPr>
        <w:t>a</w:t>
      </w:r>
      <w:r>
        <w:rPr>
          <w:rFonts w:cs="Times New Roman" w:ascii="Times New Roman" w:hAnsi="Times New Roman"/>
          <w:b/>
          <w:sz w:val="32"/>
          <w:szCs w:val="24"/>
          <w:lang w:val="lv-LV"/>
        </w:rPr>
        <w:t>na</w:t>
      </w:r>
    </w:p>
    <w:p>
      <w:pPr>
        <w:pStyle w:val="NormalWeb"/>
        <w:spacing w:beforeAutospacing="0" w:before="280" w:afterAutospacing="0" w:after="120"/>
        <w:ind w:firstLine="720"/>
        <w:rPr>
          <w:rFonts w:ascii="Times New Roman" w:hAnsi="Times New Roman" w:eastAsia="Times New Roman" w:cs="Times New Roman"/>
          <w:b/>
          <w:b/>
          <w:bCs/>
          <w:color w:val="222222"/>
          <w:sz w:val="28"/>
          <w:szCs w:val="28"/>
          <w:lang w:val="lv-LV"/>
        </w:rPr>
      </w:pPr>
      <w:r>
        <w:rPr>
          <w:rFonts w:eastAsia="Times New Roman" w:cs="Times New Roman"/>
          <w:b/>
          <w:bCs/>
          <w:color w:val="222222"/>
          <w:sz w:val="28"/>
          <w:szCs w:val="28"/>
          <w:lang w:val="lv-LV"/>
        </w:rPr>
        <w:t>Apmācību mērķis</w:t>
      </w:r>
    </w:p>
    <w:p>
      <w:pPr>
        <w:pStyle w:val="NormalWeb"/>
        <w:spacing w:lineRule="auto" w:line="276" w:beforeAutospacing="0" w:before="280" w:afterAutospacing="0" w:after="0"/>
        <w:jc w:val="both"/>
        <w:rPr>
          <w:lang w:val="lv-LV"/>
        </w:rPr>
      </w:pPr>
      <w:r>
        <w:rPr>
          <w:bCs/>
          <w:sz w:val="28"/>
          <w:lang w:val="lv-LV"/>
        </w:rPr>
        <w:t>Apmācību mērķis ir izveidot pamatizpratni par senioriem būtiskām tiesībām un pienākumiem</w:t>
      </w:r>
      <w:r>
        <w:rPr>
          <w:bCs/>
          <w:sz w:val="28"/>
          <w:lang w:val="lv-LV"/>
        </w:rPr>
        <w:t xml:space="preserve">, </w:t>
      </w:r>
      <w:r>
        <w:rPr>
          <w:rFonts w:eastAsia="Times New Roman" w:cs="Times New Roman"/>
          <w:bCs/>
          <w:sz w:val="28"/>
          <w:szCs w:val="24"/>
          <w:lang w:val="lv-LV"/>
        </w:rPr>
        <w:t>kā arī prasmes šīs tiesības pareizi izmantot un meklēt palīdzību konkrētu tiesību pārkāpšanas gadījumos</w:t>
      </w:r>
      <w:r>
        <w:rPr>
          <w:bCs/>
          <w:sz w:val="28"/>
          <w:lang w:val="lv-LV"/>
        </w:rPr>
        <w:t xml:space="preserve">. </w:t>
      </w:r>
      <w:r>
        <w:rPr>
          <w:bCs/>
          <w:sz w:val="28"/>
          <w:lang w:val="lv-LV"/>
        </w:rPr>
        <w:t xml:space="preserve">Pēc apmācību noslēguma dalībnieki būs spējīgi analizēt, kritiski novērtēt informāciju un piemērot iegūtās zināšanas </w:t>
      </w:r>
      <w:r>
        <w:rPr>
          <w:rFonts w:eastAsia="Times New Roman" w:cs="Times New Roman"/>
          <w:bCs/>
          <w:sz w:val="28"/>
          <w:szCs w:val="24"/>
          <w:lang w:val="lv-LV"/>
        </w:rPr>
        <w:t xml:space="preserve">savu </w:t>
      </w:r>
      <w:r>
        <w:rPr>
          <w:bCs/>
          <w:sz w:val="28"/>
          <w:lang w:val="lv-LV"/>
        </w:rPr>
        <w:t xml:space="preserve"> sociāl</w:t>
      </w:r>
      <w:r>
        <w:rPr>
          <w:rFonts w:eastAsia="Times New Roman" w:cs="Times New Roman"/>
          <w:bCs/>
          <w:sz w:val="28"/>
          <w:szCs w:val="24"/>
          <w:lang w:val="lv-LV"/>
        </w:rPr>
        <w:t>o</w:t>
      </w:r>
      <w:r>
        <w:rPr>
          <w:bCs/>
          <w:sz w:val="28"/>
          <w:lang w:val="lv-LV"/>
        </w:rPr>
        <w:t xml:space="preserve"> vajadzīb</w:t>
      </w:r>
      <w:r>
        <w:rPr>
          <w:rFonts w:eastAsia="Times New Roman" w:cs="Times New Roman"/>
          <w:bCs/>
          <w:sz w:val="28"/>
          <w:szCs w:val="24"/>
          <w:lang w:val="lv-LV"/>
        </w:rPr>
        <w:t>u apmierināšanai</w:t>
      </w:r>
      <w:r>
        <w:rPr>
          <w:bCs/>
          <w:sz w:val="28"/>
          <w:lang w:val="lv-LV"/>
        </w:rPr>
        <w:t>.</w:t>
      </w:r>
    </w:p>
    <w:p>
      <w:pPr>
        <w:pStyle w:val="NormalWeb"/>
        <w:spacing w:beforeAutospacing="0" w:before="280" w:afterAutospacing="0" w:after="0"/>
        <w:ind w:firstLine="720"/>
        <w:rPr>
          <w:lang w:val="lv-LV"/>
        </w:rPr>
      </w:pPr>
      <w:r>
        <w:rPr>
          <w:b/>
          <w:bCs/>
          <w:color w:val="000000"/>
          <w:sz w:val="28"/>
          <w:szCs w:val="28"/>
          <w:lang w:val="lv-LV"/>
        </w:rPr>
        <w:t>Apmācību plāns</w:t>
      </w:r>
    </w:p>
    <w:p>
      <w:pPr>
        <w:pStyle w:val="NormalWeb"/>
        <w:spacing w:beforeAutospacing="0" w:before="280" w:afterAutospacing="0" w:after="240"/>
        <w:rPr>
          <w:lang w:val="lv-LV"/>
        </w:rPr>
      </w:pPr>
      <w:r>
        <w:rPr>
          <w:bCs/>
          <w:color w:val="000000"/>
          <w:sz w:val="28"/>
          <w:lang w:val="lv-LV"/>
        </w:rPr>
        <w:t xml:space="preserve">Apmācības aptver 4 tēmas, </w:t>
      </w:r>
      <w:r>
        <w:rPr>
          <w:rFonts w:eastAsia="Times New Roman" w:cs="Times New Roman"/>
          <w:bCs/>
          <w:color w:val="000000"/>
          <w:sz w:val="28"/>
          <w:szCs w:val="24"/>
          <w:lang w:val="lv-LV"/>
        </w:rPr>
        <w:t>vienas tēmas apjoms ir</w:t>
      </w:r>
      <w:r>
        <w:rPr>
          <w:bCs/>
          <w:color w:val="000000"/>
          <w:sz w:val="28"/>
          <w:lang w:val="lv-LV"/>
        </w:rPr>
        <w:t xml:space="preserve"> 5 akadēmisk</w:t>
      </w:r>
      <w:r>
        <w:rPr>
          <w:rFonts w:eastAsia="Times New Roman" w:cs="Times New Roman"/>
          <w:bCs/>
          <w:color w:val="000000"/>
          <w:sz w:val="28"/>
          <w:szCs w:val="24"/>
          <w:lang w:val="lv-LV"/>
        </w:rPr>
        <w:t>as</w:t>
      </w:r>
      <w:r>
        <w:rPr>
          <w:bCs/>
          <w:color w:val="000000"/>
          <w:sz w:val="28"/>
          <w:lang w:val="lv-LV"/>
        </w:rPr>
        <w:t xml:space="preserve"> stund</w:t>
      </w:r>
      <w:r>
        <w:rPr>
          <w:rFonts w:eastAsia="Times New Roman" w:cs="Times New Roman"/>
          <w:bCs/>
          <w:color w:val="000000"/>
          <w:sz w:val="28"/>
          <w:szCs w:val="24"/>
          <w:lang w:val="lv-LV"/>
        </w:rPr>
        <w:t>as</w:t>
      </w:r>
      <w:r>
        <w:rPr>
          <w:bCs/>
          <w:color w:val="000000"/>
          <w:sz w:val="28"/>
          <w:lang w:val="lv-LV"/>
        </w:rPr>
        <w:t>, kop</w:t>
      </w:r>
      <w:r>
        <w:rPr>
          <w:bCs/>
          <w:color w:val="000000"/>
          <w:sz w:val="28"/>
          <w:lang w:val="lv-LV"/>
        </w:rPr>
        <w:t>ē</w:t>
      </w:r>
      <w:r>
        <w:rPr>
          <w:bCs/>
          <w:color w:val="000000"/>
          <w:sz w:val="28"/>
          <w:lang w:val="lv-LV"/>
        </w:rPr>
        <w:t xml:space="preserve">jais apmācību </w:t>
      </w:r>
      <w:r>
        <w:rPr>
          <w:rFonts w:eastAsia="Times New Roman" w:cs="Times New Roman"/>
          <w:bCs/>
          <w:color w:val="000000"/>
          <w:sz w:val="28"/>
          <w:szCs w:val="24"/>
          <w:lang w:val="lv-LV"/>
        </w:rPr>
        <w:t>apjoms</w:t>
      </w:r>
      <w:r>
        <w:rPr>
          <w:bCs/>
          <w:color w:val="000000"/>
          <w:sz w:val="28"/>
          <w:lang w:val="lv-LV"/>
        </w:rPr>
        <w:t xml:space="preserve"> ir 20 akadēmiskās stundas</w:t>
      </w:r>
    </w:p>
    <w:tbl>
      <w:tblPr>
        <w:tblStyle w:val="TableGrid"/>
        <w:tblW w:w="100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0"/>
        <w:gridCol w:w="4182"/>
        <w:gridCol w:w="1445"/>
        <w:gridCol w:w="1305"/>
        <w:gridCol w:w="2472"/>
      </w:tblGrid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Nr.</w:t>
            </w:r>
          </w:p>
        </w:tc>
        <w:tc>
          <w:tcPr>
            <w:tcW w:w="418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lv-LV" w:eastAsia="en-US" w:bidi="ar-SA"/>
              </w:rPr>
              <w:t>Tēma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lv-LV" w:eastAsia="en-US" w:bidi="ar-SA"/>
              </w:rPr>
              <w:t>Forma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lv-LV" w:eastAsia="en-US" w:bidi="ar-SA"/>
              </w:rPr>
              <w:t>Ilgums</w:t>
            </w:r>
          </w:p>
        </w:tc>
        <w:tc>
          <w:tcPr>
            <w:tcW w:w="247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lv-LV" w:eastAsia="en-US" w:bidi="ar-SA"/>
              </w:rPr>
              <w:t>Apmācību rīki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1.</w:t>
            </w:r>
          </w:p>
        </w:tc>
        <w:tc>
          <w:tcPr>
            <w:tcW w:w="4182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Tipiskās mūsdienu demokrātiskās valsts darbības pamati: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Pamata struktūra un principi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Galvenās senioriem būtiskās cilvēktiesības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Ieguvumi no dalības ES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Mūsdienu valsts iestādes un to pienākumi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Lekcija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Diskusija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Seminārs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5</w:t>
            </w:r>
          </w:p>
        </w:tc>
        <w:tc>
          <w:tcPr>
            <w:tcW w:w="247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eastAsia="Calibri" w:cs="Times New Roman"/>
                <w:kern w:val="0"/>
                <w:sz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Apmācību telpa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multivide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telekomunikācijas vai tiešsaistes apmācības vai attālinātas mācības.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2.</w:t>
            </w:r>
          </w:p>
        </w:tc>
        <w:tc>
          <w:tcPr>
            <w:tcW w:w="4182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Civiltiesības: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Līgums un tā sekas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Līgumi ar bankām, apdrošināšanas līgumi, pienākumi un riski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Testaments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mantojums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dāvināšana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Atbildība par nodokļu likumdošanas pārkāpumiem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Lekcija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Diskusija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Seminārs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5</w:t>
            </w:r>
          </w:p>
        </w:tc>
        <w:tc>
          <w:tcPr>
            <w:tcW w:w="247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eastAsia="Calibri" w:cs="Times New Roman"/>
                <w:kern w:val="0"/>
                <w:sz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Apmācību telpa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multivide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telekomunikācijas vai tiešsaistes apmācības vai attālinātas mācības.</w:t>
            </w:r>
          </w:p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3.</w:t>
            </w:r>
          </w:p>
        </w:tc>
        <w:tc>
          <w:tcPr>
            <w:tcW w:w="4182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Patērētāju aizsardzība: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Patērētāja jēdziens, galvenās patērētāja tiesības un informācijas avoti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.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Preču un pakalpojumu atbilstība līguma noteikumiem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Atteikuma tiesības distances un ārpus uzņēmuma telpām noslēgtajos līgumos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Netaisnīgie līguma noteikumi un negodīgā komercprakse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.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Lekcija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Diskusija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Seminārs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5</w:t>
            </w:r>
          </w:p>
        </w:tc>
        <w:tc>
          <w:tcPr>
            <w:tcW w:w="247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eastAsia="Calibri" w:cs="Times New Roman"/>
                <w:kern w:val="0"/>
                <w:sz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Apmācību telpa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multivide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telekomunikācijas vai tiešsaistes apmācības vai attālinātas mācības,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lomu spēļu aprīkojums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.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4. </w:t>
            </w:r>
          </w:p>
        </w:tc>
        <w:tc>
          <w:tcPr>
            <w:tcW w:w="4182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Administratīvās tiesības: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Saziņa ar valsts iestādēm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Administratīvie sodi, noziegumi, delikti. Kā risināt problēmas konstruktīvi?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Tiesa un policija. Kur vērsties un kad?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Lekcija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Diskusija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Seminārs</w:t>
            </w:r>
          </w:p>
        </w:tc>
        <w:tc>
          <w:tcPr>
            <w:tcW w:w="1305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5</w:t>
            </w:r>
          </w:p>
        </w:tc>
        <w:tc>
          <w:tcPr>
            <w:tcW w:w="2472" w:type="dxa"/>
            <w:tcBorders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lv-LV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Apmācību telpa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multivide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lv-LV" w:eastAsia="en-US" w:bidi="ar-SA"/>
              </w:rPr>
              <w:t>telekomunikācijas vai tiešsaistes apmācības vai attālinātas mācības.</w:t>
            </w:r>
          </w:p>
        </w:tc>
      </w:tr>
    </w:tbl>
    <w:p>
      <w:pPr>
        <w:pStyle w:val="Normal"/>
        <w:spacing w:before="0" w:after="160"/>
        <w:rPr>
          <w:lang w:val="lv-LV"/>
        </w:rPr>
      </w:pPr>
      <w:r>
        <w:rPr>
          <w:lang w:val="lv-LV"/>
        </w:rPr>
      </w:r>
    </w:p>
    <w:sectPr>
      <w:headerReference w:type="first" r:id="rId2"/>
      <w:type w:val="nextPage"/>
      <w:pgSz w:w="12240" w:h="15840"/>
      <w:pgMar w:left="1418" w:right="567" w:header="57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lv-LV"/>
      </w:rPr>
    </w:pPr>
    <w:r>
      <w:rPr>
        <w:lang w:val="lv-LV"/>
      </w:rPr>
      <w:drawing>
        <wp:inline distT="0" distB="0" distL="0" distR="0">
          <wp:extent cx="1781175" cy="752475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484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843"/>
    <w:pPr>
      <w:keepNext w:val="true"/>
      <w:keepLines/>
      <w:suppressAutoHyphens w:val="false"/>
      <w:spacing w:lineRule="auto" w:line="240" w:before="0" w:after="120"/>
      <w:jc w:val="center"/>
      <w:outlineLvl w:val="0"/>
    </w:pPr>
    <w:rPr>
      <w:rFonts w:ascii="Times New Roman" w:hAnsi="Times New Roman" w:eastAsia="" w:cs="" w:cstheme="majorBidi" w:eastAsiaTheme="majorEastAsia"/>
      <w:b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768a7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034843"/>
    <w:rPr>
      <w:rFonts w:ascii="Times New Roman" w:hAnsi="Times New Roman" w:eastAsia="" w:cs="" w:cstheme="majorBidi" w:eastAsiaTheme="majorEastAsia"/>
      <w:b/>
      <w:color w:val="365F91" w:themeColor="accent1" w:themeShade="bf"/>
      <w:sz w:val="32"/>
      <w:szCs w:val="32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3484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3484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imbus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5768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768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d12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3484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3484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768a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LibreOffice/7.0.6.2$Linux_X86_64 LibreOffice_project/00$Build-2</Application>
  <AppVersion>15.0000</AppVersion>
  <Pages>2</Pages>
  <Words>258</Words>
  <Characters>1771</Characters>
  <CharactersWithSpaces>1977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2020-11-27T16:24:00Z</dcterms:created>
  <dc:creator>Grazina</dc:creator>
  <dc:description/>
  <dc:language>lv-LV</dc:language>
  <cp:lastModifiedBy>Andrejs Vanags</cp:lastModifiedBy>
  <dcterms:modified xsi:type="dcterms:W3CDTF">2021-06-29T15:48:29Z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